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77C45571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9F4F71">
        <w:rPr>
          <w:b/>
          <w:i/>
          <w:noProof/>
          <w:sz w:val="28"/>
        </w:rPr>
        <w:t>2660</w:t>
      </w:r>
    </w:p>
    <w:p w14:paraId="55E40C14" w14:textId="77777777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C8AB9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A0524">
        <w:rPr>
          <w:rFonts w:ascii="Arial" w:hAnsi="Arial"/>
          <w:b/>
          <w:lang w:val="en-US"/>
        </w:rPr>
        <w:t>Nokia</w:t>
      </w:r>
    </w:p>
    <w:p w14:paraId="2C458A19" w14:textId="7B90DD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0524">
        <w:rPr>
          <w:rFonts w:ascii="Arial" w:hAnsi="Arial" w:cs="Arial"/>
          <w:b/>
        </w:rPr>
        <w:t xml:space="preserve">Discussion paper on CCF generating access token for external </w:t>
      </w:r>
      <w:proofErr w:type="spellStart"/>
      <w:r w:rsidR="00FA0524">
        <w:rPr>
          <w:rFonts w:ascii="Arial" w:hAnsi="Arial" w:cs="Arial"/>
          <w:b/>
        </w:rPr>
        <w:t>MnS</w:t>
      </w:r>
      <w:proofErr w:type="spellEnd"/>
      <w:r w:rsidR="00FA0524">
        <w:rPr>
          <w:rFonts w:ascii="Arial" w:hAnsi="Arial" w:cs="Arial"/>
          <w:b/>
        </w:rPr>
        <w:t xml:space="preserve"> consumers</w:t>
      </w:r>
    </w:p>
    <w:p w14:paraId="02CFB229" w14:textId="372361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7CB8319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0524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FA0524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5423C3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1E654297" w14:textId="3D0CA36D" w:rsidR="0059035D" w:rsidRDefault="00752AE2" w:rsidP="0059035D">
      <w:pPr>
        <w:pStyle w:val="EX"/>
        <w:ind w:left="0" w:firstLine="0"/>
      </w:pPr>
      <w:r>
        <w:rPr>
          <w:color w:val="000000"/>
          <w:lang w:eastAsia="zh-CN"/>
        </w:rPr>
        <w:t xml:space="preserve">[1] </w:t>
      </w:r>
      <w:r w:rsidR="0059035D">
        <w:t>3GPP TS 33.122: "</w:t>
      </w:r>
      <w:r w:rsidR="0059035D" w:rsidRPr="002E38E8">
        <w:t>Security Aspects of Common API Framework for 3GPP Northbound APIs</w:t>
      </w:r>
      <w:r w:rsidR="0059035D">
        <w:t>".</w:t>
      </w:r>
    </w:p>
    <w:p w14:paraId="1B1A140B" w14:textId="655897F3" w:rsidR="005E6922" w:rsidRPr="002E38E8" w:rsidRDefault="005E6922" w:rsidP="005E6922">
      <w:pPr>
        <w:pStyle w:val="EX"/>
        <w:ind w:left="0" w:firstLine="0"/>
      </w:pPr>
      <w:r>
        <w:t xml:space="preserve">[2] </w:t>
      </w:r>
      <w:r w:rsidRPr="002E38E8">
        <w:t>IETF RFC 6749: "The OAuth 2.0 Authorization Framework".</w:t>
      </w:r>
    </w:p>
    <w:p w14:paraId="2BBAD403" w14:textId="6AF29936" w:rsidR="00752AE2" w:rsidRPr="0052580C" w:rsidRDefault="0071289B" w:rsidP="00752AE2">
      <w:r>
        <w:rPr>
          <w:color w:val="000000"/>
          <w:lang w:eastAsia="zh-CN"/>
        </w:rPr>
        <w:t xml:space="preserve">[2] </w:t>
      </w:r>
      <w:r w:rsidR="00752AE2">
        <w:rPr>
          <w:color w:val="000000"/>
          <w:lang w:eastAsia="zh-CN"/>
        </w:rPr>
        <w:t>3GPP TS 28.579, "</w:t>
      </w:r>
      <w:r w:rsidR="00752AE2">
        <w:t>Management services exposure to external consumers through CAPIF</w:t>
      </w:r>
      <w:r w:rsidR="00752AE2">
        <w:rPr>
          <w:color w:val="000000"/>
          <w:lang w:eastAsia="zh-CN"/>
        </w:rPr>
        <w:t>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4C27201D" w:rsidR="00C022E3" w:rsidRDefault="00B77535" w:rsidP="00F25E3A">
      <w:pPr>
        <w:pStyle w:val="Heading2"/>
      </w:pPr>
      <w:r>
        <w:t>3.1 Back</w:t>
      </w:r>
      <w:r w:rsidR="00F25E3A">
        <w:t>ground</w:t>
      </w:r>
      <w:r w:rsidR="00BA4216">
        <w:t xml:space="preserve"> </w:t>
      </w:r>
    </w:p>
    <w:p w14:paraId="0D407D00" w14:textId="439A8825" w:rsidR="00FA20F0" w:rsidRDefault="00DB1851" w:rsidP="005D0353">
      <w:r>
        <w:t xml:space="preserve">Clause 6.5.2.3 of TS 33.122[1] </w:t>
      </w:r>
      <w:r w:rsidR="00FA20F0">
        <w:t>states the following</w:t>
      </w:r>
      <w:r w:rsidR="003B0663">
        <w:t xml:space="preserve"> regarding</w:t>
      </w:r>
      <w:r w:rsidR="00FA20F0">
        <w:t xml:space="preserve"> the security procedures over the CAPIF-2e reference point</w:t>
      </w:r>
      <w:r w:rsidR="003B0663">
        <w:t>:</w:t>
      </w:r>
    </w:p>
    <w:p w14:paraId="0C647AB0" w14:textId="2A9BA920" w:rsidR="005D0353" w:rsidRDefault="0059035D" w:rsidP="005D0353">
      <w:r>
        <w:t>“</w:t>
      </w:r>
      <w:r w:rsidR="005D0353" w:rsidRPr="002E38E8">
        <w:t>As per OAuth 2.0 [</w:t>
      </w:r>
      <w:r w:rsidR="00085D54">
        <w:t>4</w:t>
      </w:r>
      <w:r w:rsidR="005D0353" w:rsidRPr="002E38E8">
        <w:t>], the CAPIF core function shall perform the functionalit</w:t>
      </w:r>
      <w:r w:rsidR="005D0353" w:rsidRPr="00C87326">
        <w:t>y</w:t>
      </w:r>
      <w:r w:rsidR="005D0353" w:rsidRPr="002E38E8">
        <w:t xml:space="preserve"> of the </w:t>
      </w:r>
      <w:r w:rsidR="005D0353" w:rsidRPr="00C87326">
        <w:t>a</w:t>
      </w:r>
      <w:r w:rsidR="005D0353" w:rsidRPr="002E38E8">
        <w:t xml:space="preserve">uthorization </w:t>
      </w:r>
      <w:r w:rsidR="005D0353" w:rsidRPr="00C87326">
        <w:t xml:space="preserve">server </w:t>
      </w:r>
      <w:r w:rsidR="005D0353" w:rsidRPr="002E38E8">
        <w:t xml:space="preserve">and </w:t>
      </w:r>
      <w:r w:rsidR="005D0353" w:rsidRPr="00C87326">
        <w:t xml:space="preserve">provide the </w:t>
      </w:r>
      <w:r w:rsidR="005D0353" w:rsidRPr="002E38E8">
        <w:t>token endpoint, the API invoker shall perform the function of the client functionalit</w:t>
      </w:r>
      <w:r w:rsidR="005D0353" w:rsidRPr="00C87326">
        <w:t>y</w:t>
      </w:r>
      <w:r w:rsidR="005D0353" w:rsidRPr="002E38E8">
        <w:t>, while the API exposing function shall perform the resource server functions. The API invoker client (</w:t>
      </w:r>
      <w:r w:rsidR="005D0353" w:rsidRPr="00C87326">
        <w:t>c</w:t>
      </w:r>
      <w:r w:rsidR="005D0353" w:rsidRPr="002E38E8">
        <w:t xml:space="preserve">lient endpoint) shall be registered as a confidential client type with an authorization grant type of </w:t>
      </w:r>
      <w:r w:rsidR="005D0353" w:rsidRPr="00C87326">
        <w:t>'</w:t>
      </w:r>
      <w:r w:rsidR="005D0353" w:rsidRPr="002E38E8">
        <w:t>client credentials'.</w:t>
      </w:r>
      <w:r w:rsidR="005D0353">
        <w:t xml:space="preserve"> </w:t>
      </w:r>
      <w:r w:rsidR="005D0353" w:rsidRPr="00C87326">
        <w:t>The authorization shall be previously arranged in the CAPIF core function.</w:t>
      </w:r>
      <w:r w:rsidR="005D0353" w:rsidRPr="002E38E8">
        <w:t xml:space="preserve"> </w:t>
      </w:r>
      <w:r w:rsidR="005D0353">
        <w:t xml:space="preserve">The access token shall follow the profile described in annex C. </w:t>
      </w:r>
    </w:p>
    <w:p w14:paraId="05C37321" w14:textId="6C80FD70" w:rsidR="005D0353" w:rsidRPr="002E38E8" w:rsidRDefault="005D0353" w:rsidP="005D0353">
      <w:pPr>
        <w:pStyle w:val="NO"/>
      </w:pPr>
      <w:r>
        <w:t>NOTE: How the authorization is pre-arranged (pre-configured) with the CAPIF core function is out of scope of the present document</w:t>
      </w:r>
      <w:r w:rsidR="0059035D">
        <w:t>”</w:t>
      </w:r>
    </w:p>
    <w:p w14:paraId="399D2B05" w14:textId="77777777" w:rsidR="00806D44" w:rsidRDefault="00806D44" w:rsidP="00F25E3A"/>
    <w:p w14:paraId="220C8D9A" w14:textId="020FB012" w:rsidR="00BA4216" w:rsidRDefault="009F4F71" w:rsidP="00BA4216">
      <w:r>
        <w:lastRenderedPageBreak/>
        <w:pict w14:anchorId="3BD55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394.5pt">
            <v:imagedata r:id="rId8" o:title=""/>
          </v:shape>
        </w:pict>
      </w:r>
    </w:p>
    <w:p w14:paraId="61DFB274" w14:textId="7CCDF7F6" w:rsidR="00D208AD" w:rsidRPr="002E38E8" w:rsidRDefault="00D208AD" w:rsidP="00D208AD">
      <w:pPr>
        <w:pStyle w:val="TF"/>
      </w:pPr>
      <w:r w:rsidRPr="002E38E8">
        <w:t xml:space="preserve">Figure </w:t>
      </w:r>
      <w:r>
        <w:t>3.1-1</w:t>
      </w:r>
      <w:r w:rsidRPr="002E38E8">
        <w:t>: CAPIF-2e interface authentication and protection using Access Tokens</w:t>
      </w:r>
      <w:r>
        <w:t xml:space="preserve"> (see clause 6.5.2.3 </w:t>
      </w:r>
      <w:r w:rsidR="00976361">
        <w:t>of TS 33.122</w:t>
      </w:r>
      <w:r>
        <w:t>)</w:t>
      </w:r>
    </w:p>
    <w:p w14:paraId="59CDC2DE" w14:textId="4E36071F" w:rsidR="00806D44" w:rsidRDefault="00976361" w:rsidP="00272DA8">
      <w:pPr>
        <w:pStyle w:val="Heading2"/>
      </w:pPr>
      <w:r>
        <w:t>3.2 Observations</w:t>
      </w:r>
    </w:p>
    <w:p w14:paraId="10323E38" w14:textId="1CD56817" w:rsidR="00976361" w:rsidRDefault="00976361" w:rsidP="00F25E3A">
      <w:r>
        <w:t>From clause 3.1, the following obse</w:t>
      </w:r>
      <w:r w:rsidR="00100770">
        <w:t xml:space="preserve">rvations can be made regarding the authorization of the external </w:t>
      </w:r>
      <w:proofErr w:type="spellStart"/>
      <w:r w:rsidR="00100770">
        <w:t>MnS</w:t>
      </w:r>
      <w:proofErr w:type="spellEnd"/>
      <w:r w:rsidR="00100770">
        <w:t xml:space="preserve"> consumers at the CCF:</w:t>
      </w:r>
    </w:p>
    <w:p w14:paraId="6F021070" w14:textId="70889665" w:rsidR="00CF3DEA" w:rsidRDefault="008E4FCA" w:rsidP="00F25E3A">
      <w:r w:rsidRPr="00272DA8">
        <w:rPr>
          <w:b/>
          <w:bCs/>
        </w:rPr>
        <w:t>Observation 1:</w:t>
      </w:r>
      <w:r>
        <w:t xml:space="preserve"> </w:t>
      </w:r>
      <w:r w:rsidR="003B0663">
        <w:t xml:space="preserve">What authorization information for a given external </w:t>
      </w:r>
      <w:proofErr w:type="spellStart"/>
      <w:r w:rsidR="003B0663">
        <w:t>MnS</w:t>
      </w:r>
      <w:proofErr w:type="spellEnd"/>
      <w:r w:rsidR="003B0663">
        <w:t xml:space="preserve"> consumer shall be configured at the CCF?</w:t>
      </w:r>
    </w:p>
    <w:p w14:paraId="08323A58" w14:textId="784BA454" w:rsidR="003B0663" w:rsidRDefault="00CF3DEA" w:rsidP="003B0663">
      <w:r w:rsidRPr="002264B6">
        <w:rPr>
          <w:b/>
          <w:bCs/>
        </w:rPr>
        <w:t>Observation 2:</w:t>
      </w:r>
      <w:r>
        <w:t xml:space="preserve"> </w:t>
      </w:r>
      <w:r w:rsidR="003B0663">
        <w:t xml:space="preserve">How to configure the authorization information of the external </w:t>
      </w:r>
      <w:proofErr w:type="spellStart"/>
      <w:r w:rsidR="003B0663">
        <w:t>MnS</w:t>
      </w:r>
      <w:proofErr w:type="spellEnd"/>
      <w:r w:rsidR="003B0663">
        <w:t xml:space="preserve"> consumers</w:t>
      </w:r>
      <w:r w:rsidR="007F7E3C">
        <w:t xml:space="preserve"> at the CCF</w:t>
      </w:r>
      <w:r w:rsidR="003B0663">
        <w:t xml:space="preserve">? </w:t>
      </w:r>
    </w:p>
    <w:p w14:paraId="1F858E8D" w14:textId="502A6094" w:rsidR="00100770" w:rsidRDefault="00255C52" w:rsidP="00F25E3A">
      <w:r w:rsidRPr="002264B6">
        <w:rPr>
          <w:b/>
          <w:bCs/>
        </w:rPr>
        <w:t>Observation 3:</w:t>
      </w:r>
      <w:r>
        <w:t xml:space="preserve"> How to ensure that the authorization information at the CCF is correlated</w:t>
      </w:r>
      <w:r w:rsidR="000F2BE9">
        <w:t xml:space="preserve"> </w:t>
      </w:r>
      <w:r w:rsidR="00B63571">
        <w:t>with</w:t>
      </w:r>
      <w:r w:rsidR="000F2BE9">
        <w:t xml:space="preserve"> the MSAC authorization information configured </w:t>
      </w:r>
      <w:r w:rsidR="00B63571">
        <w:t xml:space="preserve">for a given external </w:t>
      </w:r>
      <w:proofErr w:type="spellStart"/>
      <w:r w:rsidR="00B63571">
        <w:t>MnS</w:t>
      </w:r>
      <w:proofErr w:type="spellEnd"/>
      <w:r w:rsidR="00B63571">
        <w:t xml:space="preserve"> consumer within the management system?</w:t>
      </w:r>
    </w:p>
    <w:p w14:paraId="0B460F56" w14:textId="77777777" w:rsidR="00D25BFC" w:rsidRDefault="00A2221C" w:rsidP="00F25E3A">
      <w:r w:rsidRPr="00272DA8">
        <w:rPr>
          <w:b/>
          <w:bCs/>
        </w:rPr>
        <w:t xml:space="preserve">Observation </w:t>
      </w:r>
      <w:r w:rsidR="002264B6">
        <w:rPr>
          <w:b/>
          <w:bCs/>
        </w:rPr>
        <w:t>4</w:t>
      </w:r>
      <w:r w:rsidRPr="00272DA8">
        <w:rPr>
          <w:b/>
          <w:bCs/>
        </w:rPr>
        <w:t>:</w:t>
      </w:r>
      <w:r>
        <w:t xml:space="preserve"> </w:t>
      </w:r>
      <w:r w:rsidR="00272DA8">
        <w:t>If observation 1</w:t>
      </w:r>
      <w:r w:rsidR="00166BD9">
        <w:t>,2,3</w:t>
      </w:r>
      <w:r w:rsidR="00272DA8">
        <w:t xml:space="preserve"> is possible, h</w:t>
      </w:r>
      <w:r>
        <w:t xml:space="preserve">ow can </w:t>
      </w:r>
      <w:r w:rsidR="00166BD9">
        <w:t>an</w:t>
      </w:r>
      <w:r>
        <w:t xml:space="preserve"> access token generated by </w:t>
      </w:r>
      <w:r w:rsidR="00272DA8">
        <w:t xml:space="preserve">the CCF be understood by the authentication and authorization </w:t>
      </w:r>
      <w:proofErr w:type="spellStart"/>
      <w:r w:rsidR="00272DA8">
        <w:t>MnS</w:t>
      </w:r>
      <w:proofErr w:type="spellEnd"/>
      <w:r w:rsidR="00272DA8">
        <w:t xml:space="preserve"> producer or the </w:t>
      </w:r>
      <w:proofErr w:type="spellStart"/>
      <w:r w:rsidR="00272DA8">
        <w:t>MnS</w:t>
      </w:r>
      <w:proofErr w:type="spellEnd"/>
      <w:r w:rsidR="00272DA8">
        <w:t xml:space="preserve"> producer</w:t>
      </w:r>
      <w:r w:rsidR="00166BD9">
        <w:t>s</w:t>
      </w:r>
      <w:r w:rsidR="00272DA8">
        <w:t>?</w:t>
      </w:r>
      <w:r w:rsidR="009772AB">
        <w:t xml:space="preserve"> </w:t>
      </w:r>
    </w:p>
    <w:p w14:paraId="5B420C24" w14:textId="5E783781" w:rsidR="00A2221C" w:rsidRDefault="00085D54" w:rsidP="00F25E3A">
      <w:r>
        <w:t xml:space="preserve">NOTE: </w:t>
      </w:r>
      <w:r w:rsidR="009772AB">
        <w:t>OAUTH2.0</w:t>
      </w:r>
      <w:r>
        <w:t>[2]</w:t>
      </w:r>
      <w:r w:rsidR="009772AB">
        <w:t xml:space="preserve"> framework does not support interworking between two authorization servers, which implies only one authorization server (i.e., </w:t>
      </w:r>
      <w:r w:rsidR="00D25BFC">
        <w:t>either within the CCF or the management system</w:t>
      </w:r>
      <w:r w:rsidR="009772AB">
        <w:t>)</w:t>
      </w:r>
      <w:r w:rsidR="00D25BFC">
        <w:t xml:space="preserve"> can generate the access token for the external </w:t>
      </w:r>
      <w:proofErr w:type="spellStart"/>
      <w:r w:rsidR="00D25BFC">
        <w:t>MnS</w:t>
      </w:r>
      <w:proofErr w:type="spellEnd"/>
      <w:r w:rsidR="00D25BFC">
        <w:t xml:space="preserve"> consumers.</w:t>
      </w:r>
    </w:p>
    <w:p w14:paraId="650535E0" w14:textId="77777777" w:rsidR="002264B6" w:rsidRDefault="002264B6" w:rsidP="00F25E3A"/>
    <w:p w14:paraId="515AF058" w14:textId="73337C39" w:rsidR="002264B6" w:rsidRDefault="002264B6" w:rsidP="00AD51A2">
      <w:pPr>
        <w:pStyle w:val="Heading2"/>
      </w:pPr>
      <w:r>
        <w:t xml:space="preserve">3.3 </w:t>
      </w:r>
      <w:r w:rsidR="001B6F74">
        <w:t>Way forward</w:t>
      </w:r>
    </w:p>
    <w:p w14:paraId="08EFC8D8" w14:textId="4659B086" w:rsidR="00E07E46" w:rsidRDefault="00AD51A2" w:rsidP="00F25E3A">
      <w:r>
        <w:t xml:space="preserve">As a way forward, </w:t>
      </w:r>
      <w:proofErr w:type="spellStart"/>
      <w:r>
        <w:t>pCR</w:t>
      </w:r>
      <w:proofErr w:type="spellEnd"/>
      <w:r>
        <w:t xml:space="preserve"> S5-25XXX</w:t>
      </w:r>
      <w:r w:rsidR="00085D54">
        <w:t xml:space="preserve"> submitted in this meeting</w:t>
      </w:r>
      <w:r>
        <w:t xml:space="preserve"> provides a </w:t>
      </w:r>
      <w:r w:rsidR="007F5672">
        <w:t>solution</w:t>
      </w:r>
      <w:r>
        <w:t xml:space="preserve"> that</w:t>
      </w:r>
      <w:r w:rsidR="007F5672">
        <w:t xml:space="preserve"> addresses all the four observations in clause 3.2. </w:t>
      </w:r>
      <w:r w:rsidR="00E07E46">
        <w:t xml:space="preserve">In the proposed solution, the CCF does not generate the access token for the external </w:t>
      </w:r>
      <w:proofErr w:type="spellStart"/>
      <w:r w:rsidR="00E07E46">
        <w:t>MnS</w:t>
      </w:r>
      <w:proofErr w:type="spellEnd"/>
      <w:r w:rsidR="00E07E46">
        <w:t xml:space="preserve"> consumers but rather forwards </w:t>
      </w:r>
      <w:r w:rsidR="006256DE">
        <w:t>all the authorization requests (e.g., the API invoker onboarding</w:t>
      </w:r>
      <w:r w:rsidR="006C5076">
        <w:t xml:space="preserve"> and access token requests for service API invocations</w:t>
      </w:r>
      <w:r w:rsidR="006256DE">
        <w:t>)</w:t>
      </w:r>
      <w:r w:rsidR="006C5076">
        <w:t xml:space="preserve"> from the external </w:t>
      </w:r>
      <w:proofErr w:type="spellStart"/>
      <w:r w:rsidR="006C5076">
        <w:t>MnS</w:t>
      </w:r>
      <w:proofErr w:type="spellEnd"/>
      <w:r w:rsidR="006C5076">
        <w:t xml:space="preserve"> consumer to the</w:t>
      </w:r>
      <w:r w:rsidR="00064F5E">
        <w:t xml:space="preserve"> authentication and authorization </w:t>
      </w:r>
      <w:proofErr w:type="spellStart"/>
      <w:r w:rsidR="00064F5E">
        <w:t>MnS</w:t>
      </w:r>
      <w:proofErr w:type="spellEnd"/>
      <w:r w:rsidR="00064F5E">
        <w:t xml:space="preserve"> producer</w:t>
      </w:r>
      <w:r w:rsidR="001B6F74">
        <w:t xml:space="preserve"> as shown in Figure 3.3-1</w:t>
      </w:r>
      <w:r w:rsidR="00064F5E">
        <w:t xml:space="preserve">. </w:t>
      </w:r>
      <w:r w:rsidR="00BA5C0E">
        <w:t xml:space="preserve">Further, the authentication and authorization </w:t>
      </w:r>
      <w:proofErr w:type="spellStart"/>
      <w:r w:rsidR="00BA5C0E">
        <w:t>MnS</w:t>
      </w:r>
      <w:proofErr w:type="spellEnd"/>
      <w:r w:rsidR="00BA5C0E">
        <w:t xml:space="preserve"> producer </w:t>
      </w:r>
      <w:proofErr w:type="gramStart"/>
      <w:r w:rsidR="00BA5C0E">
        <w:t>is in</w:t>
      </w:r>
      <w:r w:rsidR="00263745">
        <w:t xml:space="preserve"> </w:t>
      </w:r>
      <w:r w:rsidR="00BA5C0E">
        <w:t xml:space="preserve">charge </w:t>
      </w:r>
      <w:r w:rsidR="00263745">
        <w:t>of</w:t>
      </w:r>
      <w:proofErr w:type="gramEnd"/>
      <w:r w:rsidR="00263745">
        <w:t xml:space="preserve"> </w:t>
      </w:r>
      <w:r w:rsidR="00375AF2">
        <w:t>the CAPIF enrolment process for a given</w:t>
      </w:r>
      <w:r w:rsidR="00263745">
        <w:t xml:space="preserve"> </w:t>
      </w:r>
      <w:r w:rsidR="001B6F74">
        <w:t xml:space="preserve">external </w:t>
      </w:r>
      <w:proofErr w:type="spellStart"/>
      <w:r w:rsidR="001B6F74">
        <w:t>MnS</w:t>
      </w:r>
      <w:proofErr w:type="spellEnd"/>
      <w:r w:rsidR="001B6F74">
        <w:t xml:space="preserve"> consumer.</w:t>
      </w:r>
    </w:p>
    <w:p w14:paraId="27837C2A" w14:textId="5320E7CD" w:rsidR="005444C1" w:rsidRDefault="00E07E46" w:rsidP="00F25E3A">
      <w:r>
        <w:rPr>
          <w:noProof/>
        </w:rPr>
        <w:lastRenderedPageBreak/>
        <w:drawing>
          <wp:inline distT="0" distB="0" distL="0" distR="0" wp14:anchorId="30699657" wp14:editId="598341C0">
            <wp:extent cx="6120765" cy="6517005"/>
            <wp:effectExtent l="0" t="0" r="0" b="0"/>
            <wp:docPr id="45615793" name="Picture 1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15793" name="Picture 10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51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59EB0" w14:textId="45F0A0D7" w:rsidR="00876148" w:rsidRPr="00876148" w:rsidRDefault="001B6F74" w:rsidP="00876148">
      <w:r>
        <w:t xml:space="preserve">Figure </w:t>
      </w:r>
      <w:r w:rsidR="00AD51A2">
        <w:t xml:space="preserve">3.3-1: </w:t>
      </w:r>
      <w:r w:rsidR="00876148">
        <w:rPr>
          <w:iCs/>
        </w:rPr>
        <w:t>Authorization of external consumers at the CCF to consume management services</w:t>
      </w:r>
    </w:p>
    <w:p w14:paraId="705AC5A6" w14:textId="7BD58A73" w:rsidR="002264B6" w:rsidRDefault="00272214" w:rsidP="00666FF1">
      <w:pPr>
        <w:pStyle w:val="Heading3"/>
      </w:pPr>
      <w:r>
        <w:t xml:space="preserve">3.3.1 </w:t>
      </w:r>
      <w:r w:rsidR="00666FF1">
        <w:t>Implications from the way forward</w:t>
      </w:r>
    </w:p>
    <w:p w14:paraId="30EFDF0C" w14:textId="56F762A8" w:rsidR="00272214" w:rsidRDefault="00272214" w:rsidP="008B4D93">
      <w:pPr>
        <w:pStyle w:val="ListParagraph"/>
        <w:numPr>
          <w:ilvl w:val="0"/>
          <w:numId w:val="25"/>
        </w:numPr>
      </w:pPr>
      <w:r>
        <w:t xml:space="preserve">The proposed solution requires that a new CAPIF interface is defined to </w:t>
      </w:r>
      <w:r w:rsidR="00681E81">
        <w:t xml:space="preserve">enable the interaction between the CCF and </w:t>
      </w:r>
      <w:r w:rsidR="00666FF1">
        <w:t xml:space="preserve">an </w:t>
      </w:r>
      <w:r w:rsidR="00681E81">
        <w:t xml:space="preserve">external authorization server </w:t>
      </w:r>
      <w:r w:rsidR="00375AF2">
        <w:t xml:space="preserve">(in this case the authentication and authorization </w:t>
      </w:r>
      <w:proofErr w:type="spellStart"/>
      <w:r w:rsidR="00375AF2">
        <w:t>MnS</w:t>
      </w:r>
      <w:proofErr w:type="spellEnd"/>
      <w:r w:rsidR="00375AF2">
        <w:t xml:space="preserve"> producer) </w:t>
      </w:r>
      <w:r w:rsidR="00681E81">
        <w:t xml:space="preserve">in situations where the CCF </w:t>
      </w:r>
      <w:proofErr w:type="gramStart"/>
      <w:r w:rsidR="00681E81">
        <w:t>isn’t able to</w:t>
      </w:r>
      <w:proofErr w:type="gramEnd"/>
      <w:r w:rsidR="00681E81">
        <w:t xml:space="preserve"> generate the access token directly.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6D34A87" w14:textId="77777777" w:rsidR="000A3EF9" w:rsidRDefault="000A3EF9" w:rsidP="000A3EF9">
      <w:r>
        <w:t>The group is asked to do the following:</w:t>
      </w:r>
    </w:p>
    <w:p w14:paraId="46971631" w14:textId="61AE02A3" w:rsidR="00C022E3" w:rsidRPr="007B4E3E" w:rsidRDefault="00AA1011" w:rsidP="00AA1011">
      <w:pPr>
        <w:pStyle w:val="ListParagraph"/>
        <w:numPr>
          <w:ilvl w:val="0"/>
          <w:numId w:val="24"/>
        </w:numPr>
        <w:rPr>
          <w:iCs/>
        </w:rPr>
      </w:pPr>
      <w:r w:rsidRPr="007B4E3E">
        <w:rPr>
          <w:iCs/>
        </w:rPr>
        <w:t>Endorse the solutio</w:t>
      </w:r>
      <w:r w:rsidR="00152431" w:rsidRPr="007B4E3E">
        <w:rPr>
          <w:iCs/>
        </w:rPr>
        <w:t xml:space="preserve">n captured by </w:t>
      </w:r>
      <w:proofErr w:type="spellStart"/>
      <w:r w:rsidR="00152431" w:rsidRPr="007B4E3E">
        <w:rPr>
          <w:iCs/>
        </w:rPr>
        <w:t>pCR</w:t>
      </w:r>
      <w:proofErr w:type="spellEnd"/>
      <w:r w:rsidR="00152431" w:rsidRPr="007B4E3E">
        <w:rPr>
          <w:iCs/>
        </w:rPr>
        <w:t xml:space="preserve"> S5-25XXXX submitted to this meeting</w:t>
      </w:r>
    </w:p>
    <w:p w14:paraId="279F035D" w14:textId="2DB0CB1C" w:rsidR="00152431" w:rsidRPr="007B4E3E" w:rsidRDefault="0047183F" w:rsidP="00AA1011">
      <w:pPr>
        <w:pStyle w:val="ListParagraph"/>
        <w:numPr>
          <w:ilvl w:val="0"/>
          <w:numId w:val="24"/>
        </w:numPr>
        <w:rPr>
          <w:iCs/>
        </w:rPr>
      </w:pPr>
      <w:r w:rsidRPr="007B4E3E">
        <w:rPr>
          <w:iCs/>
        </w:rPr>
        <w:t xml:space="preserve">Send an LS to SA6 to </w:t>
      </w:r>
      <w:r w:rsidR="007B4E3E" w:rsidRPr="007B4E3E">
        <w:rPr>
          <w:iCs/>
        </w:rPr>
        <w:t>request for t</w:t>
      </w:r>
      <w:r w:rsidR="007B4E3E">
        <w:rPr>
          <w:iCs/>
        </w:rPr>
        <w:t>he</w:t>
      </w:r>
      <w:r w:rsidRPr="007B4E3E">
        <w:rPr>
          <w:iCs/>
        </w:rPr>
        <w:t xml:space="preserve"> definition of a new CAPIF interface </w:t>
      </w:r>
      <w:r w:rsidR="007B4E3E" w:rsidRPr="007B4E3E">
        <w:rPr>
          <w:iCs/>
        </w:rPr>
        <w:t>to enable the CCF to interact with external authorization servers.</w:t>
      </w:r>
    </w:p>
    <w:sectPr w:rsidR="00152431" w:rsidRPr="007B4E3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89A1" w14:textId="77777777" w:rsidR="0058503F" w:rsidRDefault="0058503F">
      <w:r>
        <w:separator/>
      </w:r>
    </w:p>
  </w:endnote>
  <w:endnote w:type="continuationSeparator" w:id="0">
    <w:p w14:paraId="45FEC0E6" w14:textId="77777777" w:rsidR="0058503F" w:rsidRDefault="0058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E6BF" w14:textId="77777777" w:rsidR="0058503F" w:rsidRDefault="0058503F">
      <w:r>
        <w:separator/>
      </w:r>
    </w:p>
  </w:footnote>
  <w:footnote w:type="continuationSeparator" w:id="0">
    <w:p w14:paraId="7E94BBD6" w14:textId="77777777" w:rsidR="0058503F" w:rsidRDefault="00585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D33409"/>
    <w:multiLevelType w:val="hybridMultilevel"/>
    <w:tmpl w:val="F7145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331981"/>
    <w:multiLevelType w:val="hybridMultilevel"/>
    <w:tmpl w:val="5E08B5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204E65"/>
    <w:multiLevelType w:val="hybridMultilevel"/>
    <w:tmpl w:val="8C644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0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83486652">
    <w:abstractNumId w:val="21"/>
  </w:num>
  <w:num w:numId="24" w16cid:durableId="1710908723">
    <w:abstractNumId w:val="18"/>
  </w:num>
  <w:num w:numId="25" w16cid:durableId="2560651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46389"/>
    <w:rsid w:val="0006222D"/>
    <w:rsid w:val="00064F5E"/>
    <w:rsid w:val="00074722"/>
    <w:rsid w:val="0008083D"/>
    <w:rsid w:val="000819D8"/>
    <w:rsid w:val="00085D0B"/>
    <w:rsid w:val="00085D54"/>
    <w:rsid w:val="000934A6"/>
    <w:rsid w:val="000A2C6C"/>
    <w:rsid w:val="000A3EF9"/>
    <w:rsid w:val="000A4660"/>
    <w:rsid w:val="000D1B5B"/>
    <w:rsid w:val="000E626A"/>
    <w:rsid w:val="000F2BE9"/>
    <w:rsid w:val="00100770"/>
    <w:rsid w:val="0010401F"/>
    <w:rsid w:val="00112FC3"/>
    <w:rsid w:val="001343B4"/>
    <w:rsid w:val="00147E06"/>
    <w:rsid w:val="00152431"/>
    <w:rsid w:val="00162676"/>
    <w:rsid w:val="00166BD9"/>
    <w:rsid w:val="00173FA3"/>
    <w:rsid w:val="00184B6F"/>
    <w:rsid w:val="001861E5"/>
    <w:rsid w:val="001969DA"/>
    <w:rsid w:val="00197930"/>
    <w:rsid w:val="001B09D9"/>
    <w:rsid w:val="001B1652"/>
    <w:rsid w:val="001B6F74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64B6"/>
    <w:rsid w:val="00230002"/>
    <w:rsid w:val="00244C9A"/>
    <w:rsid w:val="00247216"/>
    <w:rsid w:val="00255C52"/>
    <w:rsid w:val="00263745"/>
    <w:rsid w:val="00266700"/>
    <w:rsid w:val="00272214"/>
    <w:rsid w:val="00272DA8"/>
    <w:rsid w:val="00274056"/>
    <w:rsid w:val="00274477"/>
    <w:rsid w:val="0028270D"/>
    <w:rsid w:val="00287E7C"/>
    <w:rsid w:val="002A1857"/>
    <w:rsid w:val="002A3174"/>
    <w:rsid w:val="002B29C0"/>
    <w:rsid w:val="002C7F38"/>
    <w:rsid w:val="0030628A"/>
    <w:rsid w:val="0035122B"/>
    <w:rsid w:val="00353451"/>
    <w:rsid w:val="003612BE"/>
    <w:rsid w:val="00365672"/>
    <w:rsid w:val="00371032"/>
    <w:rsid w:val="00371B44"/>
    <w:rsid w:val="00375AF2"/>
    <w:rsid w:val="003A717F"/>
    <w:rsid w:val="003A72AA"/>
    <w:rsid w:val="003B0663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61A69"/>
    <w:rsid w:val="0047183F"/>
    <w:rsid w:val="00487192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44C1"/>
    <w:rsid w:val="0054774D"/>
    <w:rsid w:val="0055412D"/>
    <w:rsid w:val="005729C4"/>
    <w:rsid w:val="00577BC6"/>
    <w:rsid w:val="0058503F"/>
    <w:rsid w:val="0059035D"/>
    <w:rsid w:val="00590A20"/>
    <w:rsid w:val="0059227B"/>
    <w:rsid w:val="005B0966"/>
    <w:rsid w:val="005B795D"/>
    <w:rsid w:val="005D0353"/>
    <w:rsid w:val="005E6922"/>
    <w:rsid w:val="00610508"/>
    <w:rsid w:val="00613820"/>
    <w:rsid w:val="006256DE"/>
    <w:rsid w:val="00630609"/>
    <w:rsid w:val="00645C90"/>
    <w:rsid w:val="00652248"/>
    <w:rsid w:val="00657B80"/>
    <w:rsid w:val="00666FF1"/>
    <w:rsid w:val="00675B3C"/>
    <w:rsid w:val="00681E81"/>
    <w:rsid w:val="0069495C"/>
    <w:rsid w:val="006C5076"/>
    <w:rsid w:val="006D340A"/>
    <w:rsid w:val="0071289B"/>
    <w:rsid w:val="00715A1D"/>
    <w:rsid w:val="00752AE2"/>
    <w:rsid w:val="00760BB0"/>
    <w:rsid w:val="0076157A"/>
    <w:rsid w:val="00784593"/>
    <w:rsid w:val="007A00EF"/>
    <w:rsid w:val="007A52F3"/>
    <w:rsid w:val="007B19EA"/>
    <w:rsid w:val="007B4E3E"/>
    <w:rsid w:val="007C0A2D"/>
    <w:rsid w:val="007C27B0"/>
    <w:rsid w:val="007F300B"/>
    <w:rsid w:val="007F5672"/>
    <w:rsid w:val="007F7E3C"/>
    <w:rsid w:val="008014C3"/>
    <w:rsid w:val="00806D44"/>
    <w:rsid w:val="00812587"/>
    <w:rsid w:val="00837917"/>
    <w:rsid w:val="00850812"/>
    <w:rsid w:val="00853BAE"/>
    <w:rsid w:val="00876148"/>
    <w:rsid w:val="00876B9A"/>
    <w:rsid w:val="00886CBD"/>
    <w:rsid w:val="008933BF"/>
    <w:rsid w:val="008A10C4"/>
    <w:rsid w:val="008B0248"/>
    <w:rsid w:val="008B4D93"/>
    <w:rsid w:val="008D191D"/>
    <w:rsid w:val="008E4FCA"/>
    <w:rsid w:val="008F5F33"/>
    <w:rsid w:val="0091046A"/>
    <w:rsid w:val="00924155"/>
    <w:rsid w:val="00926ABD"/>
    <w:rsid w:val="00947F4E"/>
    <w:rsid w:val="00966D47"/>
    <w:rsid w:val="00976361"/>
    <w:rsid w:val="009772AB"/>
    <w:rsid w:val="00986FB9"/>
    <w:rsid w:val="00992312"/>
    <w:rsid w:val="009A45F7"/>
    <w:rsid w:val="009A7E11"/>
    <w:rsid w:val="009C0DED"/>
    <w:rsid w:val="009D53AD"/>
    <w:rsid w:val="009F4F71"/>
    <w:rsid w:val="00A004B4"/>
    <w:rsid w:val="00A117D5"/>
    <w:rsid w:val="00A20ED6"/>
    <w:rsid w:val="00A21EB1"/>
    <w:rsid w:val="00A2221C"/>
    <w:rsid w:val="00A37D7F"/>
    <w:rsid w:val="00A46410"/>
    <w:rsid w:val="00A57688"/>
    <w:rsid w:val="00A6313B"/>
    <w:rsid w:val="00A842E9"/>
    <w:rsid w:val="00A84A94"/>
    <w:rsid w:val="00AA1011"/>
    <w:rsid w:val="00AD02C0"/>
    <w:rsid w:val="00AD1DAA"/>
    <w:rsid w:val="00AD51A2"/>
    <w:rsid w:val="00AF1E23"/>
    <w:rsid w:val="00AF7F81"/>
    <w:rsid w:val="00B01AFF"/>
    <w:rsid w:val="00B03CB5"/>
    <w:rsid w:val="00B05CC7"/>
    <w:rsid w:val="00B27E39"/>
    <w:rsid w:val="00B350D8"/>
    <w:rsid w:val="00B63571"/>
    <w:rsid w:val="00B66598"/>
    <w:rsid w:val="00B76763"/>
    <w:rsid w:val="00B7732B"/>
    <w:rsid w:val="00B77535"/>
    <w:rsid w:val="00B879F0"/>
    <w:rsid w:val="00BA4216"/>
    <w:rsid w:val="00BA5C0E"/>
    <w:rsid w:val="00BB306A"/>
    <w:rsid w:val="00BC25AA"/>
    <w:rsid w:val="00BF682E"/>
    <w:rsid w:val="00C022E3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CF3DEA"/>
    <w:rsid w:val="00D146F1"/>
    <w:rsid w:val="00D208AD"/>
    <w:rsid w:val="00D25BFC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1851"/>
    <w:rsid w:val="00DB75B8"/>
    <w:rsid w:val="00DC1055"/>
    <w:rsid w:val="00DC1396"/>
    <w:rsid w:val="00DD1C3C"/>
    <w:rsid w:val="00DE4EF2"/>
    <w:rsid w:val="00DF0F93"/>
    <w:rsid w:val="00DF2C0E"/>
    <w:rsid w:val="00E04DB6"/>
    <w:rsid w:val="00E06FFB"/>
    <w:rsid w:val="00E07E46"/>
    <w:rsid w:val="00E30155"/>
    <w:rsid w:val="00E67ABE"/>
    <w:rsid w:val="00E82D8D"/>
    <w:rsid w:val="00E91FE1"/>
    <w:rsid w:val="00E97848"/>
    <w:rsid w:val="00EA5E95"/>
    <w:rsid w:val="00EB5AC3"/>
    <w:rsid w:val="00ED4954"/>
    <w:rsid w:val="00ED5A43"/>
    <w:rsid w:val="00EE0943"/>
    <w:rsid w:val="00EE33A2"/>
    <w:rsid w:val="00F25E3A"/>
    <w:rsid w:val="00F526B6"/>
    <w:rsid w:val="00F67A1C"/>
    <w:rsid w:val="00F7493F"/>
    <w:rsid w:val="00F82C5B"/>
    <w:rsid w:val="00F85325"/>
    <w:rsid w:val="00F8555F"/>
    <w:rsid w:val="00FA0524"/>
    <w:rsid w:val="00FA20F0"/>
    <w:rsid w:val="00FB0B3F"/>
    <w:rsid w:val="00FB3E36"/>
    <w:rsid w:val="00FD0C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rsid w:val="005D035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208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4A06C-C5B3-4A5E-966F-FA01593D90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609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2025-05-08T16:43:00Z</dcterms:created>
  <dcterms:modified xsi:type="dcterms:W3CDTF">2025-05-09T14:57:00Z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